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67" w:rsidRDefault="00004A6A">
      <w:pPr>
        <w:pStyle w:val="BodyText"/>
        <w:ind w:left="4128"/>
        <w:rPr>
          <w:sz w:val="20"/>
        </w:rPr>
      </w:pPr>
      <w:r>
        <w:rPr>
          <w:noProof/>
          <w:sz w:val="20"/>
          <w:lang w:val="en-IN" w:eastAsia="en-IN" w:bidi="ml-IN"/>
        </w:rPr>
        <w:drawing>
          <wp:inline distT="0" distB="0" distL="0" distR="0">
            <wp:extent cx="1214022" cy="762952"/>
            <wp:effectExtent l="0" t="0" r="0" b="0"/>
            <wp:docPr id="1" name="image1.jpeg" descr="C:\Users\user\Desktop\Ker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022" cy="76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B67" w:rsidRDefault="00004A6A">
      <w:pPr>
        <w:ind w:left="388" w:right="315"/>
        <w:jc w:val="center"/>
        <w:rPr>
          <w:b/>
          <w:sz w:val="32"/>
        </w:rPr>
      </w:pPr>
      <w:r>
        <w:rPr>
          <w:b/>
          <w:sz w:val="32"/>
        </w:rPr>
        <w:t>DIRECTORATE OF ENVIRONMENT AND CLIMATE CHANGE GOVERNMENT OF KERALA</w:t>
      </w:r>
    </w:p>
    <w:p w:rsidR="00BB1B67" w:rsidRDefault="00BB1B67">
      <w:pPr>
        <w:pStyle w:val="BodyText"/>
        <w:spacing w:before="1"/>
        <w:rPr>
          <w:b/>
          <w:sz w:val="48"/>
        </w:rPr>
      </w:pPr>
    </w:p>
    <w:p w:rsidR="00BB1B67" w:rsidRDefault="00004A6A">
      <w:pPr>
        <w:pStyle w:val="Title"/>
        <w:spacing w:line="360" w:lineRule="auto"/>
        <w:rPr>
          <w:u w:val="none"/>
        </w:rPr>
      </w:pPr>
      <w:r>
        <w:rPr>
          <w:u w:val="thick"/>
        </w:rPr>
        <w:t>Guidelines for Submitting Proposals for</w:t>
      </w:r>
      <w:r>
        <w:rPr>
          <w:spacing w:val="-57"/>
          <w:u w:val="thick"/>
        </w:rPr>
        <w:t xml:space="preserve"> </w:t>
      </w:r>
      <w:r>
        <w:rPr>
          <w:u w:val="thick"/>
        </w:rPr>
        <w:t>Environment</w:t>
      </w:r>
      <w:r>
        <w:rPr>
          <w:u w:val="none"/>
        </w:rPr>
        <w:t xml:space="preserve"> </w:t>
      </w:r>
      <w:r>
        <w:rPr>
          <w:u w:val="thick"/>
        </w:rPr>
        <w:t xml:space="preserve">Management Training </w:t>
      </w:r>
      <w:proofErr w:type="spellStart"/>
      <w:r>
        <w:rPr>
          <w:u w:val="thick"/>
        </w:rPr>
        <w:t>Programmes</w:t>
      </w:r>
      <w:proofErr w:type="spellEnd"/>
      <w:r>
        <w:rPr>
          <w:u w:val="thick"/>
        </w:rPr>
        <w:t xml:space="preserve"> / Workshops</w:t>
      </w:r>
    </w:p>
    <w:p w:rsidR="00BB1B67" w:rsidRDefault="00BB1B67">
      <w:pPr>
        <w:pStyle w:val="BodyText"/>
        <w:rPr>
          <w:b/>
          <w:sz w:val="20"/>
        </w:rPr>
      </w:pPr>
    </w:p>
    <w:p w:rsidR="00BB1B67" w:rsidRDefault="00004A6A">
      <w:pPr>
        <w:pStyle w:val="BodyText"/>
        <w:spacing w:before="253" w:line="360" w:lineRule="auto"/>
        <w:ind w:left="291" w:right="112" w:firstLine="629"/>
        <w:jc w:val="both"/>
      </w:pPr>
      <w:r>
        <w:t>The Directorate of Environment and Climate Change (</w:t>
      </w:r>
      <w:proofErr w:type="spellStart"/>
      <w:r>
        <w:t>DoECC</w:t>
      </w:r>
      <w:proofErr w:type="spellEnd"/>
      <w:r>
        <w:t xml:space="preserve">) promotes creation of environmental awareness among all groups of the society through various </w:t>
      </w:r>
      <w:proofErr w:type="spellStart"/>
      <w:r>
        <w:t>programmes</w:t>
      </w:r>
      <w:proofErr w:type="spellEnd"/>
      <w:r>
        <w:t xml:space="preserve"> in the state plan scheme “</w:t>
      </w:r>
      <w:r>
        <w:rPr>
          <w:b/>
        </w:rPr>
        <w:t>Environmental Awareness and Incentives</w:t>
      </w:r>
      <w:r>
        <w:t>”. The objective of one of the</w:t>
      </w:r>
      <w:r>
        <w:t xml:space="preserve"> component </w:t>
      </w:r>
      <w:proofErr w:type="spellStart"/>
      <w:r>
        <w:t>programme</w:t>
      </w:r>
      <w:proofErr w:type="spellEnd"/>
      <w:r>
        <w:t xml:space="preserve"> of the said plan scheme titled “</w:t>
      </w:r>
      <w:r>
        <w:rPr>
          <w:b/>
          <w:i/>
        </w:rPr>
        <w:t xml:space="preserve">Environment Management Training </w:t>
      </w:r>
      <w:proofErr w:type="spellStart"/>
      <w:r>
        <w:rPr>
          <w:b/>
          <w:i/>
        </w:rPr>
        <w:t>Programmes</w:t>
      </w:r>
      <w:proofErr w:type="spellEnd"/>
      <w:r>
        <w:rPr>
          <w:b/>
          <w:i/>
        </w:rPr>
        <w:t>/Workshops</w:t>
      </w:r>
      <w:r>
        <w:t>” is to provide an interactive platform to professionals, scientists, decision-makers and other groups of the society to build capacity, share knowledg</w:t>
      </w:r>
      <w:r>
        <w:t>e and experience on various aspects of environment conservation and management, focusing on the wise use and sustainable development principles.</w:t>
      </w:r>
    </w:p>
    <w:p w:rsidR="00BB1B67" w:rsidRDefault="00004A6A">
      <w:pPr>
        <w:pStyle w:val="BodyText"/>
        <w:spacing w:line="360" w:lineRule="auto"/>
        <w:ind w:left="291" w:right="111" w:firstLine="629"/>
        <w:jc w:val="both"/>
      </w:pPr>
      <w:r>
        <w:t xml:space="preserve">Under this </w:t>
      </w:r>
      <w:proofErr w:type="spellStart"/>
      <w:r>
        <w:t>programme</w:t>
      </w:r>
      <w:proofErr w:type="spellEnd"/>
      <w:r>
        <w:t xml:space="preserve">, financial assistance is provided </w:t>
      </w:r>
      <w:proofErr w:type="gramStart"/>
      <w:r>
        <w:t>to  academic</w:t>
      </w:r>
      <w:proofErr w:type="gramEnd"/>
      <w:r>
        <w:t xml:space="preserve">  institutions, </w:t>
      </w:r>
      <w:r>
        <w:rPr>
          <w:spacing w:val="-3"/>
        </w:rPr>
        <w:t xml:space="preserve">non-governmental </w:t>
      </w:r>
      <w:r>
        <w:t>organizatio</w:t>
      </w:r>
      <w:r>
        <w:t>ns, Government agencies etc. to build capacity on identified thrust areas related to environment or any emerging area impinging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technology,</w:t>
      </w:r>
      <w:r>
        <w:rPr>
          <w:spacing w:val="-10"/>
        </w:rPr>
        <w:t xml:space="preserve"> </w:t>
      </w:r>
      <w:r>
        <w:t>innovation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regard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environment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climate</w:t>
      </w:r>
      <w:r>
        <w:rPr>
          <w:spacing w:val="-7"/>
        </w:rPr>
        <w:t xml:space="preserve"> </w:t>
      </w:r>
      <w:r>
        <w:t>change.</w:t>
      </w:r>
    </w:p>
    <w:p w:rsidR="00BB1B67" w:rsidRDefault="00BB1B67">
      <w:pPr>
        <w:pStyle w:val="BodyText"/>
        <w:rPr>
          <w:sz w:val="42"/>
        </w:rPr>
      </w:pPr>
    </w:p>
    <w:p w:rsidR="00BB1B67" w:rsidRDefault="00004A6A">
      <w:pPr>
        <w:pStyle w:val="Heading1"/>
        <w:ind w:left="291"/>
      </w:pPr>
      <w:r>
        <w:t>Who are eligible?</w:t>
      </w:r>
    </w:p>
    <w:p w:rsidR="00BB1B67" w:rsidRDefault="00004A6A">
      <w:pPr>
        <w:pStyle w:val="ListParagraph"/>
        <w:numPr>
          <w:ilvl w:val="0"/>
          <w:numId w:val="3"/>
        </w:numPr>
        <w:tabs>
          <w:tab w:val="left" w:pos="652"/>
        </w:tabs>
        <w:spacing w:before="162" w:line="355" w:lineRule="auto"/>
        <w:ind w:right="114"/>
        <w:jc w:val="both"/>
        <w:rPr>
          <w:sz w:val="28"/>
        </w:rPr>
      </w:pPr>
      <w:r>
        <w:rPr>
          <w:sz w:val="28"/>
        </w:rPr>
        <w:t>Any recognized academic / research ins</w:t>
      </w:r>
      <w:r>
        <w:rPr>
          <w:sz w:val="28"/>
        </w:rPr>
        <w:t>titution /government organization / government undertaking having at least 3 years experience of working in environment related</w:t>
      </w:r>
      <w:r>
        <w:rPr>
          <w:spacing w:val="-7"/>
          <w:sz w:val="28"/>
        </w:rPr>
        <w:t xml:space="preserve"> </w:t>
      </w:r>
      <w:r>
        <w:rPr>
          <w:sz w:val="28"/>
        </w:rPr>
        <w:t>subjects.</w:t>
      </w:r>
    </w:p>
    <w:p w:rsidR="00BB1B67" w:rsidRDefault="00004A6A">
      <w:pPr>
        <w:pStyle w:val="ListParagraph"/>
        <w:numPr>
          <w:ilvl w:val="0"/>
          <w:numId w:val="3"/>
        </w:numPr>
        <w:tabs>
          <w:tab w:val="left" w:pos="652"/>
        </w:tabs>
        <w:spacing w:before="8" w:line="350" w:lineRule="auto"/>
        <w:ind w:right="114"/>
        <w:jc w:val="both"/>
        <w:rPr>
          <w:sz w:val="28"/>
        </w:rPr>
      </w:pPr>
      <w:r>
        <w:rPr>
          <w:sz w:val="28"/>
        </w:rPr>
        <w:t xml:space="preserve">Any registered voluntary / professional </w:t>
      </w:r>
      <w:r>
        <w:rPr>
          <w:spacing w:val="-2"/>
          <w:sz w:val="28"/>
        </w:rPr>
        <w:t xml:space="preserve">organization </w:t>
      </w:r>
      <w:r>
        <w:rPr>
          <w:sz w:val="28"/>
        </w:rPr>
        <w:t>/ trust having proven credential,</w:t>
      </w:r>
      <w:r>
        <w:rPr>
          <w:spacing w:val="15"/>
          <w:sz w:val="28"/>
        </w:rPr>
        <w:t xml:space="preserve"> </w:t>
      </w:r>
      <w:r>
        <w:rPr>
          <w:sz w:val="28"/>
        </w:rPr>
        <w:t>and</w:t>
      </w:r>
      <w:r>
        <w:rPr>
          <w:spacing w:val="18"/>
          <w:sz w:val="28"/>
        </w:rPr>
        <w:t xml:space="preserve"> </w:t>
      </w:r>
      <w:r>
        <w:rPr>
          <w:sz w:val="28"/>
        </w:rPr>
        <w:t>3</w:t>
      </w:r>
      <w:r>
        <w:rPr>
          <w:spacing w:val="20"/>
          <w:sz w:val="28"/>
        </w:rPr>
        <w:t xml:space="preserve"> </w:t>
      </w:r>
      <w:r>
        <w:rPr>
          <w:spacing w:val="-3"/>
          <w:sz w:val="28"/>
        </w:rPr>
        <w:t>years</w:t>
      </w:r>
      <w:r>
        <w:rPr>
          <w:spacing w:val="21"/>
          <w:sz w:val="28"/>
        </w:rPr>
        <w:t xml:space="preserve"> </w:t>
      </w:r>
      <w:r>
        <w:rPr>
          <w:sz w:val="28"/>
        </w:rPr>
        <w:t>experience</w:t>
      </w:r>
      <w:r>
        <w:rPr>
          <w:spacing w:val="16"/>
          <w:sz w:val="28"/>
        </w:rPr>
        <w:t xml:space="preserve"> </w:t>
      </w:r>
      <w:r>
        <w:rPr>
          <w:sz w:val="28"/>
        </w:rPr>
        <w:t>in</w:t>
      </w:r>
      <w:r>
        <w:rPr>
          <w:spacing w:val="21"/>
          <w:sz w:val="28"/>
        </w:rPr>
        <w:t xml:space="preserve"> </w:t>
      </w:r>
      <w:r>
        <w:rPr>
          <w:spacing w:val="-3"/>
          <w:sz w:val="28"/>
        </w:rPr>
        <w:t>environmental</w:t>
      </w:r>
      <w:r>
        <w:rPr>
          <w:spacing w:val="19"/>
          <w:sz w:val="28"/>
        </w:rPr>
        <w:t xml:space="preserve"> </w:t>
      </w:r>
      <w:r>
        <w:rPr>
          <w:sz w:val="28"/>
        </w:rPr>
        <w:t>field</w:t>
      </w:r>
      <w:r>
        <w:rPr>
          <w:spacing w:val="19"/>
          <w:sz w:val="28"/>
        </w:rPr>
        <w:t xml:space="preserve"> </w:t>
      </w:r>
      <w:r>
        <w:rPr>
          <w:sz w:val="28"/>
        </w:rPr>
        <w:t>and</w:t>
      </w:r>
      <w:r>
        <w:rPr>
          <w:spacing w:val="21"/>
          <w:sz w:val="28"/>
        </w:rPr>
        <w:t xml:space="preserve"> </w:t>
      </w:r>
      <w:r>
        <w:rPr>
          <w:spacing w:val="-3"/>
          <w:sz w:val="28"/>
        </w:rPr>
        <w:t>registered</w:t>
      </w:r>
      <w:r>
        <w:rPr>
          <w:spacing w:val="19"/>
          <w:sz w:val="28"/>
        </w:rPr>
        <w:t xml:space="preserve"> </w:t>
      </w:r>
      <w:r>
        <w:rPr>
          <w:sz w:val="28"/>
        </w:rPr>
        <w:t>under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the</w:t>
      </w:r>
    </w:p>
    <w:p w:rsidR="00BB1B67" w:rsidRDefault="00BB1B67">
      <w:pPr>
        <w:spacing w:line="350" w:lineRule="auto"/>
        <w:jc w:val="both"/>
        <w:rPr>
          <w:sz w:val="28"/>
        </w:rPr>
        <w:sectPr w:rsidR="00BB1B67">
          <w:footerReference w:type="default" r:id="rId8"/>
          <w:type w:val="continuous"/>
          <w:pgSz w:w="11910" w:h="16840"/>
          <w:pgMar w:top="1420" w:right="960" w:bottom="1200" w:left="880" w:header="720" w:footer="1012" w:gutter="0"/>
          <w:pgNumType w:start="1"/>
          <w:cols w:space="720"/>
        </w:sectPr>
      </w:pPr>
    </w:p>
    <w:p w:rsidR="00BB1B67" w:rsidRDefault="00004A6A">
      <w:pPr>
        <w:pStyle w:val="BodyText"/>
        <w:spacing w:before="62"/>
        <w:ind w:left="651"/>
      </w:pPr>
      <w:r>
        <w:lastRenderedPageBreak/>
        <w:t xml:space="preserve">Societies Registration Act for minimum three years and </w:t>
      </w:r>
      <w:proofErr w:type="gramStart"/>
      <w:r>
        <w:t>raising</w:t>
      </w:r>
      <w:proofErr w:type="gramEnd"/>
      <w:r>
        <w:t xml:space="preserve"> audited accounts.</w:t>
      </w:r>
    </w:p>
    <w:p w:rsidR="00BB1B67" w:rsidRDefault="00004A6A">
      <w:pPr>
        <w:pStyle w:val="ListParagraph"/>
        <w:numPr>
          <w:ilvl w:val="0"/>
          <w:numId w:val="3"/>
        </w:numPr>
        <w:tabs>
          <w:tab w:val="left" w:pos="651"/>
          <w:tab w:val="left" w:pos="652"/>
        </w:tabs>
        <w:spacing w:before="162" w:line="350" w:lineRule="auto"/>
        <w:ind w:right="115"/>
        <w:rPr>
          <w:sz w:val="28"/>
        </w:rPr>
      </w:pPr>
      <w:r>
        <w:rPr>
          <w:sz w:val="28"/>
        </w:rPr>
        <w:t>The convener should be a permanent faculty/ regular staff/ office bearer of the institution/organization in the</w:t>
      </w:r>
      <w:r>
        <w:rPr>
          <w:spacing w:val="-7"/>
          <w:sz w:val="28"/>
        </w:rPr>
        <w:t xml:space="preserve"> </w:t>
      </w:r>
      <w:r>
        <w:rPr>
          <w:sz w:val="28"/>
        </w:rPr>
        <w:t>State.</w:t>
      </w:r>
    </w:p>
    <w:p w:rsidR="00BB1B67" w:rsidRDefault="00BB1B67">
      <w:pPr>
        <w:pStyle w:val="BodyText"/>
        <w:spacing w:before="4"/>
        <w:rPr>
          <w:sz w:val="33"/>
        </w:rPr>
      </w:pPr>
    </w:p>
    <w:p w:rsidR="00BB1B67" w:rsidRDefault="00004A6A">
      <w:pPr>
        <w:pStyle w:val="Heading1"/>
        <w:ind w:left="108"/>
      </w:pPr>
      <w:r>
        <w:t>Thrust areas</w:t>
      </w:r>
    </w:p>
    <w:p w:rsidR="00BB1B67" w:rsidRDefault="00004A6A">
      <w:pPr>
        <w:pStyle w:val="BodyText"/>
        <w:spacing w:before="163" w:line="360" w:lineRule="auto"/>
        <w:ind w:left="200" w:right="114" w:firstLine="720"/>
        <w:jc w:val="both"/>
      </w:pPr>
      <w:r>
        <w:t>The proposals for financial assistance should have focus on environment related subjects and or environmental awareness amo</w:t>
      </w:r>
      <w:r>
        <w:t xml:space="preserve">ngst masses. </w:t>
      </w:r>
      <w:proofErr w:type="spellStart"/>
      <w:r>
        <w:t>DoECC</w:t>
      </w:r>
      <w:proofErr w:type="spellEnd"/>
      <w:r>
        <w:t xml:space="preserve"> has identified the following thrust areas:-</w:t>
      </w:r>
    </w:p>
    <w:p w:rsidR="00BB1B67" w:rsidRDefault="00BB1B67">
      <w:pPr>
        <w:pStyle w:val="BodyText"/>
        <w:spacing w:before="10"/>
        <w:rPr>
          <w:sz w:val="27"/>
        </w:rPr>
      </w:pPr>
    </w:p>
    <w:p w:rsidR="00BB1B67" w:rsidRDefault="00004A6A">
      <w:pPr>
        <w:pStyle w:val="ListParagraph"/>
        <w:numPr>
          <w:ilvl w:val="0"/>
          <w:numId w:val="2"/>
        </w:numPr>
        <w:tabs>
          <w:tab w:val="left" w:pos="548"/>
        </w:tabs>
        <w:spacing w:before="0"/>
        <w:rPr>
          <w:sz w:val="28"/>
        </w:rPr>
      </w:pPr>
      <w:r>
        <w:rPr>
          <w:sz w:val="28"/>
        </w:rPr>
        <w:t xml:space="preserve">Sustainable rebuilding of Kerala in the post flood/post </w:t>
      </w:r>
      <w:r>
        <w:rPr>
          <w:spacing w:val="-3"/>
          <w:sz w:val="28"/>
        </w:rPr>
        <w:t>COVID</w:t>
      </w:r>
      <w:r>
        <w:rPr>
          <w:spacing w:val="-49"/>
          <w:sz w:val="28"/>
        </w:rPr>
        <w:t xml:space="preserve"> </w:t>
      </w:r>
      <w:r>
        <w:rPr>
          <w:sz w:val="28"/>
        </w:rPr>
        <w:t>scenario.</w:t>
      </w:r>
    </w:p>
    <w:p w:rsidR="00BB1B67" w:rsidRDefault="00004A6A">
      <w:pPr>
        <w:pStyle w:val="ListParagraph"/>
        <w:numPr>
          <w:ilvl w:val="0"/>
          <w:numId w:val="2"/>
        </w:numPr>
        <w:tabs>
          <w:tab w:val="left" w:pos="479"/>
        </w:tabs>
        <w:spacing w:before="163"/>
        <w:ind w:left="478" w:hanging="279"/>
        <w:rPr>
          <w:sz w:val="28"/>
        </w:rPr>
      </w:pPr>
      <w:r>
        <w:rPr>
          <w:sz w:val="28"/>
        </w:rPr>
        <w:t xml:space="preserve">Climate Change related issues with focus on </w:t>
      </w:r>
      <w:r>
        <w:rPr>
          <w:spacing w:val="-3"/>
          <w:sz w:val="28"/>
        </w:rPr>
        <w:t xml:space="preserve">adaptation </w:t>
      </w:r>
      <w:r>
        <w:rPr>
          <w:sz w:val="28"/>
        </w:rPr>
        <w:t>and</w:t>
      </w:r>
      <w:r>
        <w:rPr>
          <w:spacing w:val="-37"/>
          <w:sz w:val="28"/>
        </w:rPr>
        <w:t xml:space="preserve"> </w:t>
      </w:r>
      <w:r>
        <w:rPr>
          <w:sz w:val="28"/>
        </w:rPr>
        <w:t>mitigation.</w:t>
      </w:r>
    </w:p>
    <w:p w:rsidR="00BB1B67" w:rsidRDefault="00004A6A">
      <w:pPr>
        <w:pStyle w:val="ListParagraph"/>
        <w:numPr>
          <w:ilvl w:val="0"/>
          <w:numId w:val="2"/>
        </w:numPr>
        <w:tabs>
          <w:tab w:val="left" w:pos="477"/>
        </w:tabs>
        <w:ind w:left="476" w:hanging="277"/>
        <w:rPr>
          <w:sz w:val="28"/>
        </w:rPr>
      </w:pPr>
      <w:r>
        <w:rPr>
          <w:sz w:val="28"/>
        </w:rPr>
        <w:t>Energy &amp; Water</w:t>
      </w:r>
      <w:r>
        <w:rPr>
          <w:spacing w:val="-13"/>
          <w:sz w:val="28"/>
        </w:rPr>
        <w:t xml:space="preserve"> </w:t>
      </w:r>
      <w:r>
        <w:rPr>
          <w:sz w:val="28"/>
        </w:rPr>
        <w:t>Auditing</w:t>
      </w:r>
    </w:p>
    <w:p w:rsidR="00BB1B67" w:rsidRDefault="00004A6A">
      <w:pPr>
        <w:pStyle w:val="ListParagraph"/>
        <w:numPr>
          <w:ilvl w:val="0"/>
          <w:numId w:val="2"/>
        </w:numPr>
        <w:tabs>
          <w:tab w:val="left" w:pos="511"/>
        </w:tabs>
        <w:spacing w:before="161" w:line="360" w:lineRule="auto"/>
        <w:ind w:left="200" w:right="116" w:firstLine="0"/>
        <w:rPr>
          <w:sz w:val="28"/>
        </w:rPr>
      </w:pPr>
      <w:r>
        <w:rPr>
          <w:sz w:val="28"/>
        </w:rPr>
        <w:t xml:space="preserve">Waste management - special focus on plastic waste </w:t>
      </w:r>
      <w:r>
        <w:rPr>
          <w:spacing w:val="-3"/>
          <w:sz w:val="28"/>
        </w:rPr>
        <w:t xml:space="preserve">management </w:t>
      </w:r>
      <w:r>
        <w:rPr>
          <w:sz w:val="28"/>
        </w:rPr>
        <w:t>&amp; alternatives to plastic</w:t>
      </w:r>
    </w:p>
    <w:p w:rsidR="00BB1B67" w:rsidRDefault="00004A6A">
      <w:pPr>
        <w:pStyle w:val="ListParagraph"/>
        <w:numPr>
          <w:ilvl w:val="0"/>
          <w:numId w:val="2"/>
        </w:numPr>
        <w:tabs>
          <w:tab w:val="left" w:pos="547"/>
        </w:tabs>
        <w:spacing w:before="1"/>
        <w:ind w:left="546" w:hanging="347"/>
        <w:rPr>
          <w:sz w:val="28"/>
        </w:rPr>
      </w:pPr>
      <w:r>
        <w:rPr>
          <w:sz w:val="28"/>
        </w:rPr>
        <w:t>Environmental Impact Assessment</w:t>
      </w:r>
      <w:r>
        <w:rPr>
          <w:spacing w:val="-12"/>
          <w:sz w:val="28"/>
        </w:rPr>
        <w:t xml:space="preserve"> </w:t>
      </w:r>
      <w:r>
        <w:rPr>
          <w:sz w:val="28"/>
        </w:rPr>
        <w:t>Process</w:t>
      </w:r>
    </w:p>
    <w:p w:rsidR="00BB1B67" w:rsidRDefault="00004A6A">
      <w:pPr>
        <w:pStyle w:val="ListParagraph"/>
        <w:numPr>
          <w:ilvl w:val="0"/>
          <w:numId w:val="2"/>
        </w:numPr>
        <w:tabs>
          <w:tab w:val="left" w:pos="477"/>
        </w:tabs>
        <w:ind w:left="476" w:hanging="277"/>
        <w:rPr>
          <w:sz w:val="28"/>
        </w:rPr>
      </w:pPr>
      <w:r>
        <w:rPr>
          <w:sz w:val="28"/>
        </w:rPr>
        <w:t>Natural Resource</w:t>
      </w:r>
      <w:r>
        <w:rPr>
          <w:spacing w:val="-3"/>
          <w:sz w:val="28"/>
        </w:rPr>
        <w:t xml:space="preserve"> </w:t>
      </w:r>
      <w:r>
        <w:rPr>
          <w:sz w:val="28"/>
        </w:rPr>
        <w:t>Management</w:t>
      </w:r>
    </w:p>
    <w:p w:rsidR="00BB1B67" w:rsidRDefault="00004A6A">
      <w:pPr>
        <w:pStyle w:val="ListParagraph"/>
        <w:numPr>
          <w:ilvl w:val="0"/>
          <w:numId w:val="2"/>
        </w:numPr>
        <w:tabs>
          <w:tab w:val="left" w:pos="547"/>
        </w:tabs>
        <w:spacing w:before="161"/>
        <w:ind w:left="546" w:hanging="347"/>
        <w:rPr>
          <w:sz w:val="28"/>
        </w:rPr>
      </w:pPr>
      <w:r>
        <w:rPr>
          <w:sz w:val="28"/>
        </w:rPr>
        <w:t xml:space="preserve">Environmental Monitoring and </w:t>
      </w:r>
      <w:r>
        <w:rPr>
          <w:spacing w:val="-3"/>
          <w:sz w:val="28"/>
        </w:rPr>
        <w:t>Assessment</w:t>
      </w:r>
      <w:r>
        <w:rPr>
          <w:spacing w:val="-16"/>
          <w:sz w:val="28"/>
        </w:rPr>
        <w:t xml:space="preserve"> </w:t>
      </w:r>
      <w:r>
        <w:rPr>
          <w:sz w:val="28"/>
        </w:rPr>
        <w:t>Techniques</w:t>
      </w:r>
    </w:p>
    <w:p w:rsidR="00BB1B67" w:rsidRDefault="00004A6A">
      <w:pPr>
        <w:pStyle w:val="ListParagraph"/>
        <w:numPr>
          <w:ilvl w:val="0"/>
          <w:numId w:val="2"/>
        </w:numPr>
        <w:tabs>
          <w:tab w:val="left" w:pos="547"/>
        </w:tabs>
        <w:ind w:left="546" w:hanging="347"/>
        <w:rPr>
          <w:sz w:val="28"/>
        </w:rPr>
      </w:pPr>
      <w:r>
        <w:rPr>
          <w:sz w:val="28"/>
        </w:rPr>
        <w:t>Environmental</w:t>
      </w:r>
      <w:r>
        <w:rPr>
          <w:spacing w:val="-4"/>
          <w:sz w:val="28"/>
        </w:rPr>
        <w:t xml:space="preserve"> </w:t>
      </w:r>
      <w:proofErr w:type="spellStart"/>
      <w:r>
        <w:rPr>
          <w:spacing w:val="-2"/>
          <w:sz w:val="28"/>
        </w:rPr>
        <w:t>Laws&amp;Regulations</w:t>
      </w:r>
      <w:proofErr w:type="spellEnd"/>
    </w:p>
    <w:p w:rsidR="00BB1B67" w:rsidRDefault="00004A6A">
      <w:pPr>
        <w:pStyle w:val="ListParagraph"/>
        <w:numPr>
          <w:ilvl w:val="0"/>
          <w:numId w:val="2"/>
        </w:numPr>
        <w:tabs>
          <w:tab w:val="left" w:pos="482"/>
        </w:tabs>
        <w:spacing w:before="163"/>
        <w:ind w:left="481" w:hanging="282"/>
        <w:rPr>
          <w:sz w:val="28"/>
        </w:rPr>
      </w:pPr>
      <w:r>
        <w:rPr>
          <w:sz w:val="28"/>
        </w:rPr>
        <w:t>Biodiversity</w:t>
      </w:r>
      <w:r>
        <w:rPr>
          <w:spacing w:val="-6"/>
          <w:sz w:val="28"/>
        </w:rPr>
        <w:t xml:space="preserve"> </w:t>
      </w:r>
      <w:r>
        <w:rPr>
          <w:sz w:val="28"/>
        </w:rPr>
        <w:t>Garden</w:t>
      </w:r>
      <w:r>
        <w:rPr>
          <w:sz w:val="28"/>
        </w:rPr>
        <w:t>ing</w:t>
      </w:r>
    </w:p>
    <w:p w:rsidR="00BB1B67" w:rsidRDefault="00BB1B67">
      <w:pPr>
        <w:pStyle w:val="BodyText"/>
        <w:rPr>
          <w:sz w:val="30"/>
        </w:rPr>
      </w:pPr>
    </w:p>
    <w:p w:rsidR="00BB1B67" w:rsidRDefault="00004A6A">
      <w:pPr>
        <w:pStyle w:val="Heading1"/>
        <w:spacing w:before="185"/>
      </w:pPr>
      <w:r>
        <w:t>Procedure of Applying the Scheme</w:t>
      </w:r>
    </w:p>
    <w:p w:rsidR="00BB1B67" w:rsidRDefault="00004A6A">
      <w:pPr>
        <w:spacing w:before="161" w:line="360" w:lineRule="auto"/>
        <w:ind w:left="200" w:right="113" w:firstLine="720"/>
        <w:jc w:val="both"/>
        <w:rPr>
          <w:sz w:val="28"/>
        </w:rPr>
      </w:pPr>
      <w:r>
        <w:rPr>
          <w:sz w:val="28"/>
        </w:rPr>
        <w:t xml:space="preserve">The institutions who wish to avail financial assistance under this </w:t>
      </w:r>
      <w:proofErr w:type="spellStart"/>
      <w:r>
        <w:rPr>
          <w:sz w:val="28"/>
        </w:rPr>
        <w:t>programme</w:t>
      </w:r>
      <w:proofErr w:type="spellEnd"/>
      <w:r>
        <w:rPr>
          <w:sz w:val="28"/>
        </w:rPr>
        <w:t xml:space="preserve"> should submit their proposal in the prescribed </w:t>
      </w:r>
      <w:proofErr w:type="spellStart"/>
      <w:r>
        <w:rPr>
          <w:sz w:val="28"/>
        </w:rPr>
        <w:t>proforma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 xml:space="preserve">Annexure-I) along with a softcopy in MS Word format, along with necessary documents </w:t>
      </w:r>
      <w:r>
        <w:rPr>
          <w:sz w:val="28"/>
        </w:rPr>
        <w:t xml:space="preserve">to </w:t>
      </w:r>
      <w:r>
        <w:rPr>
          <w:b/>
          <w:sz w:val="28"/>
        </w:rPr>
        <w:t>The Director, Directorate of Environment and Climate Change, 4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Floor, KSRTC </w:t>
      </w:r>
      <w:r>
        <w:rPr>
          <w:b/>
          <w:spacing w:val="-3"/>
          <w:sz w:val="28"/>
        </w:rPr>
        <w:t xml:space="preserve">Bus </w:t>
      </w:r>
      <w:r>
        <w:rPr>
          <w:b/>
          <w:sz w:val="28"/>
        </w:rPr>
        <w:t xml:space="preserve">Terminal Complex, </w:t>
      </w:r>
      <w:proofErr w:type="spellStart"/>
      <w:r>
        <w:rPr>
          <w:b/>
          <w:sz w:val="28"/>
        </w:rPr>
        <w:t>Thampanoor</w:t>
      </w:r>
      <w:proofErr w:type="spellEnd"/>
      <w:r>
        <w:rPr>
          <w:b/>
          <w:sz w:val="28"/>
        </w:rPr>
        <w:t xml:space="preserve">, Thiruvananthapuram-695001 </w:t>
      </w:r>
      <w:r>
        <w:rPr>
          <w:sz w:val="28"/>
        </w:rPr>
        <w:t xml:space="preserve">on or before </w:t>
      </w:r>
      <w:r>
        <w:rPr>
          <w:b/>
          <w:sz w:val="28"/>
        </w:rPr>
        <w:t xml:space="preserve">30- 11-2021. </w:t>
      </w:r>
      <w:r>
        <w:rPr>
          <w:sz w:val="28"/>
        </w:rPr>
        <w:t xml:space="preserve">An affidavit should be incorporated in the prescribed format </w:t>
      </w:r>
      <w:r>
        <w:rPr>
          <w:b/>
          <w:sz w:val="28"/>
        </w:rPr>
        <w:t>(</w:t>
      </w:r>
      <w:r>
        <w:rPr>
          <w:sz w:val="28"/>
        </w:rPr>
        <w:t>Annexure-II</w:t>
      </w:r>
      <w:proofErr w:type="gramStart"/>
      <w:r>
        <w:rPr>
          <w:sz w:val="28"/>
        </w:rPr>
        <w:t>)  in</w:t>
      </w:r>
      <w:proofErr w:type="gramEnd"/>
      <w:r>
        <w:rPr>
          <w:sz w:val="28"/>
        </w:rPr>
        <w:t xml:space="preserve"> respect of</w:t>
      </w:r>
      <w:r>
        <w:rPr>
          <w:sz w:val="28"/>
        </w:rPr>
        <w:t xml:space="preserve"> submission of UC(in KFC FORM-44) and audited statement of expenditure submitted at right</w:t>
      </w:r>
      <w:r>
        <w:rPr>
          <w:spacing w:val="-2"/>
          <w:sz w:val="28"/>
        </w:rPr>
        <w:t xml:space="preserve"> </w:t>
      </w:r>
      <w:r>
        <w:rPr>
          <w:sz w:val="28"/>
        </w:rPr>
        <w:t>time.</w:t>
      </w:r>
    </w:p>
    <w:p w:rsidR="00BB1B67" w:rsidRDefault="00BB1B67">
      <w:pPr>
        <w:spacing w:line="360" w:lineRule="auto"/>
        <w:jc w:val="both"/>
        <w:rPr>
          <w:sz w:val="28"/>
        </w:rPr>
        <w:sectPr w:rsidR="00BB1B67">
          <w:pgSz w:w="11910" w:h="16840"/>
          <w:pgMar w:top="1360" w:right="960" w:bottom="1200" w:left="880" w:header="0" w:footer="1012" w:gutter="0"/>
          <w:cols w:space="720"/>
        </w:sectPr>
      </w:pPr>
    </w:p>
    <w:p w:rsidR="00BB1B67" w:rsidRDefault="00BB1B67">
      <w:pPr>
        <w:pStyle w:val="BodyText"/>
        <w:rPr>
          <w:sz w:val="20"/>
        </w:rPr>
      </w:pPr>
    </w:p>
    <w:p w:rsidR="00BB1B67" w:rsidRDefault="00BB1B67">
      <w:pPr>
        <w:pStyle w:val="BodyText"/>
        <w:rPr>
          <w:sz w:val="20"/>
        </w:rPr>
      </w:pPr>
    </w:p>
    <w:p w:rsidR="00BB1B67" w:rsidRDefault="00BB1B67">
      <w:pPr>
        <w:pStyle w:val="BodyText"/>
        <w:spacing w:before="5"/>
        <w:rPr>
          <w:sz w:val="22"/>
        </w:rPr>
      </w:pPr>
    </w:p>
    <w:p w:rsidR="00BB1B67" w:rsidRDefault="00004A6A">
      <w:pPr>
        <w:pStyle w:val="Heading1"/>
        <w:spacing w:before="89"/>
      </w:pPr>
      <w:r>
        <w:t>Scrutiny of proposals and approval</w:t>
      </w:r>
    </w:p>
    <w:p w:rsidR="00BB1B67" w:rsidRDefault="00004A6A">
      <w:pPr>
        <w:pStyle w:val="BodyText"/>
        <w:spacing w:before="163"/>
        <w:ind w:left="682"/>
        <w:jc w:val="both"/>
      </w:pPr>
      <w:r>
        <w:t>The screening of the proposals will be done in two stages.</w:t>
      </w:r>
    </w:p>
    <w:p w:rsidR="00BB1B67" w:rsidRDefault="00004A6A">
      <w:pPr>
        <w:pStyle w:val="Heading1"/>
        <w:spacing w:before="160"/>
      </w:pPr>
      <w:r>
        <w:t>Stage 1:</w:t>
      </w:r>
    </w:p>
    <w:p w:rsidR="00BB1B67" w:rsidRDefault="00004A6A">
      <w:pPr>
        <w:pStyle w:val="BodyText"/>
        <w:spacing w:before="160" w:line="360" w:lineRule="auto"/>
        <w:ind w:left="200" w:right="114" w:firstLine="790"/>
        <w:jc w:val="both"/>
      </w:pPr>
      <w:r>
        <w:t xml:space="preserve">In this stage, the respective section of </w:t>
      </w:r>
      <w:proofErr w:type="spellStart"/>
      <w:r>
        <w:t>DoECC</w:t>
      </w:r>
      <w:proofErr w:type="spellEnd"/>
      <w:r>
        <w:t xml:space="preserve"> will cross check the proposals in terms of eligibility criteria, experience and other conditions given in the guidelines.</w:t>
      </w:r>
    </w:p>
    <w:p w:rsidR="00BB1B67" w:rsidRDefault="00004A6A">
      <w:pPr>
        <w:pStyle w:val="Heading1"/>
        <w:spacing w:before="2"/>
      </w:pPr>
      <w:r>
        <w:t>Stage 2:</w:t>
      </w:r>
    </w:p>
    <w:p w:rsidR="00BB1B67" w:rsidRDefault="00004A6A">
      <w:pPr>
        <w:pStyle w:val="BodyText"/>
        <w:spacing w:before="161" w:line="360" w:lineRule="auto"/>
        <w:ind w:left="200" w:right="110" w:firstLine="720"/>
        <w:jc w:val="both"/>
      </w:pPr>
      <w:r>
        <w:t xml:space="preserve">The </w:t>
      </w:r>
      <w:proofErr w:type="spellStart"/>
      <w:r>
        <w:t>DoECC</w:t>
      </w:r>
      <w:proofErr w:type="spellEnd"/>
      <w:r>
        <w:t xml:space="preserve"> has constituted an Internal </w:t>
      </w:r>
      <w:proofErr w:type="gramStart"/>
      <w:r>
        <w:t>Screening  Committee</w:t>
      </w:r>
      <w:proofErr w:type="gramEnd"/>
      <w:r>
        <w:t xml:space="preserve">  for  consideration</w:t>
      </w:r>
      <w:r>
        <w:t xml:space="preserve"> of such  proposals. The Committee shall consider those proposals</w:t>
      </w:r>
      <w:proofErr w:type="gramStart"/>
      <w:r>
        <w:t>,  which</w:t>
      </w:r>
      <w:proofErr w:type="gramEnd"/>
      <w:r>
        <w:t xml:space="preserve"> are complete in all respect, keeping the following aspects in view while recommending the proposal(s) for financial</w:t>
      </w:r>
      <w:r>
        <w:rPr>
          <w:spacing w:val="-20"/>
        </w:rPr>
        <w:t xml:space="preserve"> </w:t>
      </w:r>
      <w:r>
        <w:t>assistance:</w:t>
      </w:r>
    </w:p>
    <w:p w:rsidR="00BB1B67" w:rsidRDefault="00004A6A">
      <w:pPr>
        <w:pStyle w:val="ListParagraph"/>
        <w:numPr>
          <w:ilvl w:val="0"/>
          <w:numId w:val="1"/>
        </w:numPr>
        <w:tabs>
          <w:tab w:val="left" w:pos="484"/>
        </w:tabs>
        <w:spacing w:before="1" w:line="355" w:lineRule="auto"/>
        <w:ind w:right="113"/>
        <w:jc w:val="both"/>
        <w:rPr>
          <w:sz w:val="28"/>
        </w:rPr>
      </w:pPr>
      <w:r>
        <w:rPr>
          <w:sz w:val="28"/>
        </w:rPr>
        <w:t xml:space="preserve">The applicant </w:t>
      </w:r>
      <w:r>
        <w:rPr>
          <w:spacing w:val="-2"/>
          <w:sz w:val="28"/>
        </w:rPr>
        <w:t xml:space="preserve">organization </w:t>
      </w:r>
      <w:r>
        <w:rPr>
          <w:sz w:val="28"/>
        </w:rPr>
        <w:t xml:space="preserve">has not received any grant </w:t>
      </w:r>
      <w:r>
        <w:rPr>
          <w:sz w:val="28"/>
        </w:rPr>
        <w:t xml:space="preserve">under this </w:t>
      </w:r>
      <w:proofErr w:type="spellStart"/>
      <w:r>
        <w:rPr>
          <w:sz w:val="28"/>
        </w:rPr>
        <w:t>programme</w:t>
      </w:r>
      <w:proofErr w:type="spellEnd"/>
      <w:r>
        <w:rPr>
          <w:sz w:val="28"/>
        </w:rPr>
        <w:t xml:space="preserve"> during the financial year in which the proposed event falls. Financial assistance will not be provided</w:t>
      </w:r>
      <w:r>
        <w:rPr>
          <w:spacing w:val="-5"/>
          <w:sz w:val="28"/>
        </w:rPr>
        <w:t xml:space="preserve"> </w:t>
      </w:r>
      <w:r>
        <w:rPr>
          <w:sz w:val="28"/>
        </w:rPr>
        <w:t>more</w:t>
      </w:r>
      <w:r>
        <w:rPr>
          <w:spacing w:val="-5"/>
          <w:sz w:val="28"/>
        </w:rPr>
        <w:t xml:space="preserve"> </w:t>
      </w:r>
      <w:r>
        <w:rPr>
          <w:sz w:val="28"/>
        </w:rPr>
        <w:t>than</w:t>
      </w:r>
      <w:r>
        <w:rPr>
          <w:spacing w:val="-4"/>
          <w:sz w:val="28"/>
        </w:rPr>
        <w:t xml:space="preserve"> </w:t>
      </w:r>
      <w:r>
        <w:rPr>
          <w:sz w:val="28"/>
        </w:rPr>
        <w:t>once</w:t>
      </w:r>
      <w:r>
        <w:rPr>
          <w:spacing w:val="-8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financial</w:t>
      </w:r>
      <w:r>
        <w:rPr>
          <w:spacing w:val="-6"/>
          <w:sz w:val="28"/>
        </w:rPr>
        <w:t xml:space="preserve"> </w:t>
      </w:r>
      <w:r>
        <w:rPr>
          <w:sz w:val="28"/>
        </w:rPr>
        <w:t>year,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normal</w:t>
      </w:r>
      <w:r>
        <w:rPr>
          <w:spacing w:val="-5"/>
          <w:sz w:val="28"/>
        </w:rPr>
        <w:t xml:space="preserve"> </w:t>
      </w:r>
      <w:r>
        <w:rPr>
          <w:sz w:val="28"/>
        </w:rPr>
        <w:t>course.</w:t>
      </w:r>
    </w:p>
    <w:p w:rsidR="00BB1B67" w:rsidRDefault="00004A6A">
      <w:pPr>
        <w:pStyle w:val="ListParagraph"/>
        <w:numPr>
          <w:ilvl w:val="0"/>
          <w:numId w:val="1"/>
        </w:numPr>
        <w:tabs>
          <w:tab w:val="left" w:pos="484"/>
        </w:tabs>
        <w:spacing w:before="9" w:line="350" w:lineRule="auto"/>
        <w:ind w:right="115"/>
        <w:jc w:val="both"/>
        <w:rPr>
          <w:sz w:val="28"/>
        </w:rPr>
      </w:pPr>
      <w:r>
        <w:rPr>
          <w:sz w:val="28"/>
        </w:rPr>
        <w:t xml:space="preserve">Application from Government Department / undertaking / academic / </w:t>
      </w:r>
      <w:r>
        <w:rPr>
          <w:spacing w:val="-3"/>
          <w:sz w:val="28"/>
        </w:rPr>
        <w:t>research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institution has been duly </w:t>
      </w:r>
      <w:r>
        <w:rPr>
          <w:spacing w:val="-3"/>
          <w:sz w:val="28"/>
        </w:rPr>
        <w:t xml:space="preserve">forwarded </w:t>
      </w:r>
      <w:r>
        <w:rPr>
          <w:sz w:val="28"/>
        </w:rPr>
        <w:t>by Head of the</w:t>
      </w:r>
      <w:r>
        <w:rPr>
          <w:spacing w:val="-36"/>
          <w:sz w:val="28"/>
        </w:rPr>
        <w:t xml:space="preserve"> </w:t>
      </w:r>
      <w:r>
        <w:rPr>
          <w:sz w:val="28"/>
        </w:rPr>
        <w:t>institution.</w:t>
      </w:r>
    </w:p>
    <w:p w:rsidR="00BB1B67" w:rsidRDefault="00004A6A">
      <w:pPr>
        <w:pStyle w:val="ListParagraph"/>
        <w:numPr>
          <w:ilvl w:val="0"/>
          <w:numId w:val="1"/>
        </w:numPr>
        <w:tabs>
          <w:tab w:val="left" w:pos="484"/>
        </w:tabs>
        <w:spacing w:before="15" w:line="355" w:lineRule="auto"/>
        <w:ind w:right="113"/>
        <w:jc w:val="both"/>
        <w:rPr>
          <w:sz w:val="28"/>
        </w:rPr>
      </w:pPr>
      <w:r>
        <w:rPr>
          <w:sz w:val="28"/>
        </w:rPr>
        <w:t xml:space="preserve">In case of NGOs and other </w:t>
      </w:r>
      <w:r>
        <w:rPr>
          <w:spacing w:val="-3"/>
          <w:sz w:val="28"/>
        </w:rPr>
        <w:t xml:space="preserve">Professional </w:t>
      </w:r>
      <w:r>
        <w:rPr>
          <w:sz w:val="28"/>
        </w:rPr>
        <w:t xml:space="preserve">Organizations, valid registration details of the </w:t>
      </w:r>
      <w:r>
        <w:rPr>
          <w:spacing w:val="-2"/>
          <w:sz w:val="28"/>
        </w:rPr>
        <w:t xml:space="preserve">organization </w:t>
      </w:r>
      <w:r>
        <w:rPr>
          <w:sz w:val="28"/>
        </w:rPr>
        <w:t>and the last 3 year’s audited statements of accounts should be submitted.</w:t>
      </w:r>
    </w:p>
    <w:p w:rsidR="00BB1B67" w:rsidRDefault="00004A6A">
      <w:pPr>
        <w:pStyle w:val="ListParagraph"/>
        <w:numPr>
          <w:ilvl w:val="0"/>
          <w:numId w:val="1"/>
        </w:numPr>
        <w:tabs>
          <w:tab w:val="left" w:pos="484"/>
        </w:tabs>
        <w:spacing w:before="8" w:line="357" w:lineRule="auto"/>
        <w:ind w:right="113"/>
        <w:jc w:val="both"/>
        <w:rPr>
          <w:sz w:val="28"/>
        </w:rPr>
      </w:pPr>
      <w:r>
        <w:rPr>
          <w:sz w:val="28"/>
        </w:rPr>
        <w:t xml:space="preserve">The proposals for financial  assistance  will be given depending on the quality of  the proposal provided that previous grant, if any, released by </w:t>
      </w:r>
      <w:proofErr w:type="spellStart"/>
      <w:r>
        <w:rPr>
          <w:sz w:val="28"/>
        </w:rPr>
        <w:t>DoECC</w:t>
      </w:r>
      <w:proofErr w:type="spellEnd"/>
      <w:r>
        <w:rPr>
          <w:sz w:val="28"/>
        </w:rPr>
        <w:t xml:space="preserve"> to the applicant </w:t>
      </w:r>
      <w:r>
        <w:rPr>
          <w:spacing w:val="-2"/>
          <w:sz w:val="28"/>
        </w:rPr>
        <w:t xml:space="preserve">organization </w:t>
      </w:r>
      <w:r>
        <w:rPr>
          <w:sz w:val="28"/>
        </w:rPr>
        <w:t>has been fully settled in terms of Expenditure Statement, Utilization Cer</w:t>
      </w:r>
      <w:r>
        <w:rPr>
          <w:sz w:val="28"/>
        </w:rPr>
        <w:t xml:space="preserve">tificate, </w:t>
      </w:r>
      <w:r>
        <w:rPr>
          <w:spacing w:val="-3"/>
          <w:sz w:val="28"/>
        </w:rPr>
        <w:t xml:space="preserve">reports </w:t>
      </w:r>
      <w:r>
        <w:rPr>
          <w:sz w:val="28"/>
        </w:rPr>
        <w:t xml:space="preserve">etc. The </w:t>
      </w:r>
      <w:proofErr w:type="gramStart"/>
      <w:r>
        <w:rPr>
          <w:sz w:val="28"/>
        </w:rPr>
        <w:t>proposal  should</w:t>
      </w:r>
      <w:proofErr w:type="gramEnd"/>
      <w:r>
        <w:rPr>
          <w:sz w:val="28"/>
        </w:rPr>
        <w:t xml:space="preserve">  focus  on  topics  relating to the main theme of the </w:t>
      </w:r>
      <w:proofErr w:type="spellStart"/>
      <w:r>
        <w:rPr>
          <w:sz w:val="28"/>
        </w:rPr>
        <w:t>programme</w:t>
      </w:r>
      <w:proofErr w:type="spellEnd"/>
      <w:r>
        <w:rPr>
          <w:sz w:val="28"/>
        </w:rPr>
        <w:t xml:space="preserve"> and </w:t>
      </w:r>
      <w:r>
        <w:rPr>
          <w:spacing w:val="-2"/>
          <w:sz w:val="28"/>
        </w:rPr>
        <w:t xml:space="preserve">organization </w:t>
      </w:r>
      <w:r>
        <w:rPr>
          <w:sz w:val="28"/>
        </w:rPr>
        <w:t xml:space="preserve">should indicate the full  details of key resource persons. If the committee </w:t>
      </w:r>
      <w:r>
        <w:rPr>
          <w:spacing w:val="-3"/>
          <w:sz w:val="28"/>
        </w:rPr>
        <w:t xml:space="preserve">approved </w:t>
      </w:r>
      <w:r>
        <w:rPr>
          <w:sz w:val="28"/>
        </w:rPr>
        <w:t>the proposal, a confirmation letter will be se</w:t>
      </w:r>
      <w:r>
        <w:rPr>
          <w:sz w:val="28"/>
        </w:rPr>
        <w:t>nt to the</w:t>
      </w:r>
      <w:r>
        <w:rPr>
          <w:spacing w:val="-33"/>
          <w:sz w:val="28"/>
        </w:rPr>
        <w:t xml:space="preserve"> </w:t>
      </w:r>
      <w:r>
        <w:rPr>
          <w:sz w:val="28"/>
        </w:rPr>
        <w:t>institution.</w:t>
      </w:r>
    </w:p>
    <w:p w:rsidR="00BB1B67" w:rsidRDefault="00BB1B67">
      <w:pPr>
        <w:spacing w:line="357" w:lineRule="auto"/>
        <w:jc w:val="both"/>
        <w:rPr>
          <w:sz w:val="28"/>
        </w:rPr>
        <w:sectPr w:rsidR="00BB1B67">
          <w:pgSz w:w="11910" w:h="16840"/>
          <w:pgMar w:top="1580" w:right="960" w:bottom="1200" w:left="880" w:header="0" w:footer="1012" w:gutter="0"/>
          <w:cols w:space="720"/>
        </w:sectPr>
      </w:pPr>
    </w:p>
    <w:p w:rsidR="00BB1B67" w:rsidRDefault="00004A6A">
      <w:pPr>
        <w:pStyle w:val="Heading1"/>
        <w:spacing w:before="62"/>
        <w:ind w:left="108"/>
      </w:pPr>
      <w:r>
        <w:lastRenderedPageBreak/>
        <w:t>Quantum of assistance</w:t>
      </w:r>
    </w:p>
    <w:p w:rsidR="00BB1B67" w:rsidRDefault="00004A6A">
      <w:pPr>
        <w:pStyle w:val="BodyText"/>
        <w:spacing w:before="160" w:line="360" w:lineRule="auto"/>
        <w:ind w:left="200" w:right="113" w:firstLine="720"/>
        <w:jc w:val="both"/>
      </w:pPr>
      <w:r>
        <w:t xml:space="preserve">Financial assistance is </w:t>
      </w:r>
      <w:proofErr w:type="gramStart"/>
      <w:r>
        <w:t>only  for</w:t>
      </w:r>
      <w:proofErr w:type="gramEnd"/>
      <w:r>
        <w:t xml:space="preserve">  organizational  </w:t>
      </w:r>
      <w:r>
        <w:rPr>
          <w:spacing w:val="-3"/>
        </w:rPr>
        <w:t xml:space="preserve">expenses  </w:t>
      </w:r>
      <w:r>
        <w:t xml:space="preserve">of  the proposed  event and not for capital items like construction, equipment, </w:t>
      </w:r>
      <w:r>
        <w:rPr>
          <w:spacing w:val="-3"/>
        </w:rPr>
        <w:t xml:space="preserve">automation </w:t>
      </w:r>
      <w:r>
        <w:t xml:space="preserve">etc. </w:t>
      </w:r>
      <w:r>
        <w:rPr>
          <w:spacing w:val="-2"/>
        </w:rPr>
        <w:t xml:space="preserve">The </w:t>
      </w:r>
      <w:r>
        <w:t xml:space="preserve">maximum amount may go up to Rs. 2 </w:t>
      </w:r>
      <w:proofErr w:type="spellStart"/>
      <w:r>
        <w:t>Lakh</w:t>
      </w:r>
      <w:proofErr w:type="spellEnd"/>
      <w:r>
        <w:t xml:space="preserve">. The Internal Screening Committee of </w:t>
      </w:r>
      <w:proofErr w:type="spellStart"/>
      <w:r>
        <w:t>DoECC</w:t>
      </w:r>
      <w:proofErr w:type="spellEnd"/>
      <w:r>
        <w:t xml:space="preserve"> can consider higher quantum of assistance in very exceptional case(s) on merits.</w:t>
      </w:r>
    </w:p>
    <w:p w:rsidR="00BB1B67" w:rsidRDefault="00BB1B67">
      <w:pPr>
        <w:pStyle w:val="BodyText"/>
        <w:rPr>
          <w:sz w:val="30"/>
        </w:rPr>
      </w:pPr>
    </w:p>
    <w:p w:rsidR="00BB1B67" w:rsidRDefault="00004A6A">
      <w:pPr>
        <w:pStyle w:val="Heading1"/>
        <w:spacing w:before="1"/>
        <w:ind w:left="108"/>
      </w:pPr>
      <w:r>
        <w:t>Release of Fund</w:t>
      </w:r>
    </w:p>
    <w:p w:rsidR="00BB1B67" w:rsidRDefault="00004A6A">
      <w:pPr>
        <w:pStyle w:val="BodyText"/>
        <w:spacing w:before="161" w:line="360" w:lineRule="auto"/>
        <w:ind w:left="200" w:right="113"/>
        <w:jc w:val="both"/>
      </w:pPr>
      <w:r>
        <w:t xml:space="preserve">The sanctioned amount will be disbursed in two installments – </w:t>
      </w:r>
      <w:r>
        <w:rPr>
          <w:i/>
        </w:rPr>
        <w:t xml:space="preserve">i.e. </w:t>
      </w:r>
      <w:r>
        <w:t>60% of th</w:t>
      </w:r>
      <w:r>
        <w:t xml:space="preserve">e sanctioned </w:t>
      </w:r>
      <w:r>
        <w:rPr>
          <w:spacing w:val="-2"/>
        </w:rPr>
        <w:t xml:space="preserve">amount </w:t>
      </w:r>
      <w:r>
        <w:t xml:space="preserve">will be given in advance and the remaining 40% amount will be released after the successful completion of the </w:t>
      </w:r>
      <w:proofErr w:type="spellStart"/>
      <w:r>
        <w:t>programme</w:t>
      </w:r>
      <w:proofErr w:type="spellEnd"/>
      <w:r>
        <w:t xml:space="preserve"> and submission of report and duly filled audited Statement of Expenditure, Utilization Certificate (in KFC FORM-44),</w:t>
      </w:r>
      <w:r>
        <w:rPr>
          <w:spacing w:val="-10"/>
        </w:rPr>
        <w:t xml:space="preserve"> </w:t>
      </w:r>
      <w:r>
        <w:t>signed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Coordinator,</w:t>
      </w:r>
      <w:r>
        <w:rPr>
          <w:spacing w:val="-10"/>
        </w:rPr>
        <w:t xml:space="preserve"> </w:t>
      </w:r>
      <w:r>
        <w:t>Head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Institution</w:t>
      </w:r>
      <w:r>
        <w:rPr>
          <w:spacing w:val="-9"/>
        </w:rPr>
        <w:t xml:space="preserve"> </w:t>
      </w:r>
      <w:r>
        <w:t>and/</w:t>
      </w:r>
      <w:r>
        <w:rPr>
          <w:spacing w:val="-8"/>
        </w:rPr>
        <w:t xml:space="preserve"> </w:t>
      </w:r>
      <w:r>
        <w:t>Finance</w:t>
      </w:r>
      <w:r>
        <w:rPr>
          <w:spacing w:val="-8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rPr>
          <w:spacing w:val="-3"/>
        </w:rPr>
        <w:t xml:space="preserve">(both </w:t>
      </w:r>
      <w:r>
        <w:t xml:space="preserve">in hard copy and softcopy) and other relevant documents in digital form also. The final report and financial documents should be submitted to </w:t>
      </w:r>
      <w:proofErr w:type="spellStart"/>
      <w:r>
        <w:t>DoECC</w:t>
      </w:r>
      <w:proofErr w:type="spellEnd"/>
      <w:r>
        <w:t xml:space="preserve"> </w:t>
      </w:r>
      <w:r w:rsidRPr="00004A6A">
        <w:rPr>
          <w:b/>
        </w:rPr>
        <w:t>on or before 28-02- 202</w:t>
      </w:r>
      <w:r w:rsidR="002B0355" w:rsidRPr="00004A6A">
        <w:rPr>
          <w:b/>
        </w:rPr>
        <w:t>2</w:t>
      </w:r>
      <w:r w:rsidRPr="00004A6A">
        <w:rPr>
          <w:b/>
        </w:rPr>
        <w:t>.</w:t>
      </w:r>
      <w:r>
        <w:rPr>
          <w:b/>
        </w:rPr>
        <w:t xml:space="preserve"> </w:t>
      </w:r>
      <w:r>
        <w:t>If the</w:t>
      </w:r>
      <w:r>
        <w:t xml:space="preserve"> participating </w:t>
      </w:r>
      <w:r>
        <w:rPr>
          <w:spacing w:val="-2"/>
        </w:rPr>
        <w:t xml:space="preserve">organization </w:t>
      </w:r>
      <w:r>
        <w:t xml:space="preserve">fails to give the UC, Statement of Expenditure and report to </w:t>
      </w:r>
      <w:proofErr w:type="spellStart"/>
      <w:r>
        <w:t>DoECC</w:t>
      </w:r>
      <w:proofErr w:type="spellEnd"/>
      <w:r>
        <w:t xml:space="preserve"> in time, then the organization would not be eligible for any grant in future. The unspent amount shall be remitted to Government as per the </w:t>
      </w:r>
      <w:r>
        <w:rPr>
          <w:spacing w:val="-3"/>
        </w:rPr>
        <w:t xml:space="preserve">relevant </w:t>
      </w:r>
      <w:r>
        <w:t xml:space="preserve">rules. </w:t>
      </w:r>
      <w:proofErr w:type="spellStart"/>
      <w:r>
        <w:t>DoECC</w:t>
      </w:r>
      <w:proofErr w:type="spellEnd"/>
      <w:r>
        <w:t xml:space="preserve"> should be duly acknowledged for the </w:t>
      </w:r>
      <w:r>
        <w:rPr>
          <w:spacing w:val="-3"/>
        </w:rPr>
        <w:t xml:space="preserve">financial/technical </w:t>
      </w:r>
      <w:r>
        <w:t xml:space="preserve">support in </w:t>
      </w:r>
      <w:r>
        <w:rPr>
          <w:spacing w:val="-3"/>
        </w:rPr>
        <w:t xml:space="preserve">all </w:t>
      </w:r>
      <w:r>
        <w:t xml:space="preserve">the </w:t>
      </w:r>
      <w:r>
        <w:rPr>
          <w:spacing w:val="-2"/>
        </w:rPr>
        <w:t xml:space="preserve">publications </w:t>
      </w:r>
      <w:r>
        <w:t xml:space="preserve">and other resource materials that has been prepared for </w:t>
      </w:r>
      <w:r>
        <w:rPr>
          <w:spacing w:val="-2"/>
        </w:rPr>
        <w:t xml:space="preserve">the </w:t>
      </w:r>
      <w:proofErr w:type="spellStart"/>
      <w:r>
        <w:t>programme</w:t>
      </w:r>
      <w:proofErr w:type="spellEnd"/>
      <w:r>
        <w:t>.</w:t>
      </w:r>
    </w:p>
    <w:sectPr w:rsidR="00BB1B67" w:rsidSect="00BB1B67">
      <w:pgSz w:w="11910" w:h="16840"/>
      <w:pgMar w:top="1360" w:right="960" w:bottom="1200" w:left="880" w:header="0" w:footer="10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B67" w:rsidRDefault="00BB1B67" w:rsidP="00BB1B67">
      <w:r>
        <w:separator/>
      </w:r>
    </w:p>
  </w:endnote>
  <w:endnote w:type="continuationSeparator" w:id="1">
    <w:p w:rsidR="00BB1B67" w:rsidRDefault="00BB1B67" w:rsidP="00BB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67" w:rsidRDefault="00BB1B67">
    <w:pPr>
      <w:pStyle w:val="BodyText"/>
      <w:spacing w:line="14" w:lineRule="auto"/>
      <w:rPr>
        <w:sz w:val="20"/>
      </w:rPr>
    </w:pPr>
    <w:r w:rsidRPr="00BB1B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1.1pt;margin-top:780.3pt;width:51.4pt;height:13.05pt;z-index:-251658752;mso-position-horizontal-relative:page;mso-position-vertical-relative:page" filled="f" stroked="f">
          <v:textbox inset="0,0,0,0">
            <w:txbxContent>
              <w:p w:rsidR="00BB1B67" w:rsidRDefault="00004A6A">
                <w:pPr>
                  <w:spacing w:line="245" w:lineRule="exact"/>
                  <w:ind w:left="20"/>
                  <w:rPr>
                    <w:rFonts w:ascii="Carlito"/>
                    <w:b/>
                  </w:rPr>
                </w:pPr>
                <w:r>
                  <w:rPr>
                    <w:rFonts w:ascii="Carlito"/>
                  </w:rPr>
                  <w:t xml:space="preserve">Page </w:t>
                </w:r>
                <w:r w:rsidR="00BB1B67">
                  <w:fldChar w:fldCharType="begin"/>
                </w:r>
                <w:r>
                  <w:rPr>
                    <w:rFonts w:ascii="Carlito"/>
                    <w:b/>
                  </w:rPr>
                  <w:instrText xml:space="preserve"> PAGE </w:instrText>
                </w:r>
                <w:r w:rsidR="00BB1B67">
                  <w:fldChar w:fldCharType="separate"/>
                </w:r>
                <w:r>
                  <w:rPr>
                    <w:rFonts w:ascii="Carlito"/>
                    <w:b/>
                    <w:noProof/>
                  </w:rPr>
                  <w:t>2</w:t>
                </w:r>
                <w:r w:rsidR="00BB1B67">
                  <w:fldChar w:fldCharType="end"/>
                </w:r>
                <w:r>
                  <w:rPr>
                    <w:rFonts w:ascii="Carlito"/>
                    <w:b/>
                  </w:rPr>
                  <w:t xml:space="preserve"> </w:t>
                </w:r>
                <w:r>
                  <w:rPr>
                    <w:rFonts w:ascii="Carlito"/>
                  </w:rPr>
                  <w:t xml:space="preserve">of </w:t>
                </w:r>
                <w:r>
                  <w:rPr>
                    <w:rFonts w:ascii="Carlito"/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B67" w:rsidRDefault="00BB1B67" w:rsidP="00BB1B67">
      <w:r>
        <w:separator/>
      </w:r>
    </w:p>
  </w:footnote>
  <w:footnote w:type="continuationSeparator" w:id="1">
    <w:p w:rsidR="00BB1B67" w:rsidRDefault="00BB1B67" w:rsidP="00BB1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207"/>
    <w:multiLevelType w:val="hybridMultilevel"/>
    <w:tmpl w:val="1BC6BFCE"/>
    <w:lvl w:ilvl="0" w:tplc="E30E3708">
      <w:numFmt w:val="bullet"/>
      <w:lvlText w:val=""/>
      <w:lvlJc w:val="left"/>
      <w:pPr>
        <w:ind w:left="651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C042313E">
      <w:numFmt w:val="bullet"/>
      <w:lvlText w:val="•"/>
      <w:lvlJc w:val="left"/>
      <w:pPr>
        <w:ind w:left="1600" w:hanging="361"/>
      </w:pPr>
      <w:rPr>
        <w:rFonts w:hint="default"/>
        <w:lang w:val="en-US" w:eastAsia="en-US" w:bidi="ar-SA"/>
      </w:rPr>
    </w:lvl>
    <w:lvl w:ilvl="2" w:tplc="A1F4AFFC">
      <w:numFmt w:val="bullet"/>
      <w:lvlText w:val="•"/>
      <w:lvlJc w:val="left"/>
      <w:pPr>
        <w:ind w:left="2541" w:hanging="361"/>
      </w:pPr>
      <w:rPr>
        <w:rFonts w:hint="default"/>
        <w:lang w:val="en-US" w:eastAsia="en-US" w:bidi="ar-SA"/>
      </w:rPr>
    </w:lvl>
    <w:lvl w:ilvl="3" w:tplc="025CED48">
      <w:numFmt w:val="bullet"/>
      <w:lvlText w:val="•"/>
      <w:lvlJc w:val="left"/>
      <w:pPr>
        <w:ind w:left="3481" w:hanging="361"/>
      </w:pPr>
      <w:rPr>
        <w:rFonts w:hint="default"/>
        <w:lang w:val="en-US" w:eastAsia="en-US" w:bidi="ar-SA"/>
      </w:rPr>
    </w:lvl>
    <w:lvl w:ilvl="4" w:tplc="82E618F0">
      <w:numFmt w:val="bullet"/>
      <w:lvlText w:val="•"/>
      <w:lvlJc w:val="left"/>
      <w:pPr>
        <w:ind w:left="4422" w:hanging="361"/>
      </w:pPr>
      <w:rPr>
        <w:rFonts w:hint="default"/>
        <w:lang w:val="en-US" w:eastAsia="en-US" w:bidi="ar-SA"/>
      </w:rPr>
    </w:lvl>
    <w:lvl w:ilvl="5" w:tplc="29A2AE6E">
      <w:numFmt w:val="bullet"/>
      <w:lvlText w:val="•"/>
      <w:lvlJc w:val="left"/>
      <w:pPr>
        <w:ind w:left="5363" w:hanging="361"/>
      </w:pPr>
      <w:rPr>
        <w:rFonts w:hint="default"/>
        <w:lang w:val="en-US" w:eastAsia="en-US" w:bidi="ar-SA"/>
      </w:rPr>
    </w:lvl>
    <w:lvl w:ilvl="6" w:tplc="3594BFC8">
      <w:numFmt w:val="bullet"/>
      <w:lvlText w:val="•"/>
      <w:lvlJc w:val="left"/>
      <w:pPr>
        <w:ind w:left="6303" w:hanging="361"/>
      </w:pPr>
      <w:rPr>
        <w:rFonts w:hint="default"/>
        <w:lang w:val="en-US" w:eastAsia="en-US" w:bidi="ar-SA"/>
      </w:rPr>
    </w:lvl>
    <w:lvl w:ilvl="7" w:tplc="0930EF74">
      <w:numFmt w:val="bullet"/>
      <w:lvlText w:val="•"/>
      <w:lvlJc w:val="left"/>
      <w:pPr>
        <w:ind w:left="7244" w:hanging="361"/>
      </w:pPr>
      <w:rPr>
        <w:rFonts w:hint="default"/>
        <w:lang w:val="en-US" w:eastAsia="en-US" w:bidi="ar-SA"/>
      </w:rPr>
    </w:lvl>
    <w:lvl w:ilvl="8" w:tplc="D9DED408">
      <w:numFmt w:val="bullet"/>
      <w:lvlText w:val="•"/>
      <w:lvlJc w:val="left"/>
      <w:pPr>
        <w:ind w:left="8185" w:hanging="361"/>
      </w:pPr>
      <w:rPr>
        <w:rFonts w:hint="default"/>
        <w:lang w:val="en-US" w:eastAsia="en-US" w:bidi="ar-SA"/>
      </w:rPr>
    </w:lvl>
  </w:abstractNum>
  <w:abstractNum w:abstractNumId="1">
    <w:nsid w:val="29443D45"/>
    <w:multiLevelType w:val="hybridMultilevel"/>
    <w:tmpl w:val="7F0C7C82"/>
    <w:lvl w:ilvl="0" w:tplc="0B4E2DD8">
      <w:numFmt w:val="bullet"/>
      <w:lvlText w:val=""/>
      <w:lvlJc w:val="left"/>
      <w:pPr>
        <w:ind w:left="483" w:hanging="284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40046498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2" w:tplc="B2D66B72">
      <w:numFmt w:val="bullet"/>
      <w:lvlText w:val="•"/>
      <w:lvlJc w:val="left"/>
      <w:pPr>
        <w:ind w:left="2397" w:hanging="284"/>
      </w:pPr>
      <w:rPr>
        <w:rFonts w:hint="default"/>
        <w:lang w:val="en-US" w:eastAsia="en-US" w:bidi="ar-SA"/>
      </w:rPr>
    </w:lvl>
    <w:lvl w:ilvl="3" w:tplc="6458E5C8">
      <w:numFmt w:val="bullet"/>
      <w:lvlText w:val="•"/>
      <w:lvlJc w:val="left"/>
      <w:pPr>
        <w:ind w:left="3355" w:hanging="284"/>
      </w:pPr>
      <w:rPr>
        <w:rFonts w:hint="default"/>
        <w:lang w:val="en-US" w:eastAsia="en-US" w:bidi="ar-SA"/>
      </w:rPr>
    </w:lvl>
    <w:lvl w:ilvl="4" w:tplc="C46AC1F4">
      <w:numFmt w:val="bullet"/>
      <w:lvlText w:val="•"/>
      <w:lvlJc w:val="left"/>
      <w:pPr>
        <w:ind w:left="4314" w:hanging="284"/>
      </w:pPr>
      <w:rPr>
        <w:rFonts w:hint="default"/>
        <w:lang w:val="en-US" w:eastAsia="en-US" w:bidi="ar-SA"/>
      </w:rPr>
    </w:lvl>
    <w:lvl w:ilvl="5" w:tplc="56CA1F24">
      <w:numFmt w:val="bullet"/>
      <w:lvlText w:val="•"/>
      <w:lvlJc w:val="left"/>
      <w:pPr>
        <w:ind w:left="5273" w:hanging="284"/>
      </w:pPr>
      <w:rPr>
        <w:rFonts w:hint="default"/>
        <w:lang w:val="en-US" w:eastAsia="en-US" w:bidi="ar-SA"/>
      </w:rPr>
    </w:lvl>
    <w:lvl w:ilvl="6" w:tplc="136C6098">
      <w:numFmt w:val="bullet"/>
      <w:lvlText w:val="•"/>
      <w:lvlJc w:val="left"/>
      <w:pPr>
        <w:ind w:left="6231" w:hanging="284"/>
      </w:pPr>
      <w:rPr>
        <w:rFonts w:hint="default"/>
        <w:lang w:val="en-US" w:eastAsia="en-US" w:bidi="ar-SA"/>
      </w:rPr>
    </w:lvl>
    <w:lvl w:ilvl="7" w:tplc="0D3282BE">
      <w:numFmt w:val="bullet"/>
      <w:lvlText w:val="•"/>
      <w:lvlJc w:val="left"/>
      <w:pPr>
        <w:ind w:left="7190" w:hanging="284"/>
      </w:pPr>
      <w:rPr>
        <w:rFonts w:hint="default"/>
        <w:lang w:val="en-US" w:eastAsia="en-US" w:bidi="ar-SA"/>
      </w:rPr>
    </w:lvl>
    <w:lvl w:ilvl="8" w:tplc="3DEC0544">
      <w:numFmt w:val="bullet"/>
      <w:lvlText w:val="•"/>
      <w:lvlJc w:val="left"/>
      <w:pPr>
        <w:ind w:left="8149" w:hanging="284"/>
      </w:pPr>
      <w:rPr>
        <w:rFonts w:hint="default"/>
        <w:lang w:val="en-US" w:eastAsia="en-US" w:bidi="ar-SA"/>
      </w:rPr>
    </w:lvl>
  </w:abstractNum>
  <w:abstractNum w:abstractNumId="2">
    <w:nsid w:val="350A6FFC"/>
    <w:multiLevelType w:val="hybridMultilevel"/>
    <w:tmpl w:val="C682E9CE"/>
    <w:lvl w:ilvl="0" w:tplc="46BABFB0">
      <w:start w:val="1"/>
      <w:numFmt w:val="decimal"/>
      <w:lvlText w:val="%1."/>
      <w:lvlJc w:val="left"/>
      <w:pPr>
        <w:ind w:left="547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43EC2AAE">
      <w:numFmt w:val="bullet"/>
      <w:lvlText w:val="•"/>
      <w:lvlJc w:val="left"/>
      <w:pPr>
        <w:ind w:left="1492" w:hanging="348"/>
      </w:pPr>
      <w:rPr>
        <w:rFonts w:hint="default"/>
        <w:lang w:val="en-US" w:eastAsia="en-US" w:bidi="ar-SA"/>
      </w:rPr>
    </w:lvl>
    <w:lvl w:ilvl="2" w:tplc="E27EAA28">
      <w:numFmt w:val="bullet"/>
      <w:lvlText w:val="•"/>
      <w:lvlJc w:val="left"/>
      <w:pPr>
        <w:ind w:left="2445" w:hanging="348"/>
      </w:pPr>
      <w:rPr>
        <w:rFonts w:hint="default"/>
        <w:lang w:val="en-US" w:eastAsia="en-US" w:bidi="ar-SA"/>
      </w:rPr>
    </w:lvl>
    <w:lvl w:ilvl="3" w:tplc="3BB2A8E2">
      <w:numFmt w:val="bullet"/>
      <w:lvlText w:val="•"/>
      <w:lvlJc w:val="left"/>
      <w:pPr>
        <w:ind w:left="3397" w:hanging="348"/>
      </w:pPr>
      <w:rPr>
        <w:rFonts w:hint="default"/>
        <w:lang w:val="en-US" w:eastAsia="en-US" w:bidi="ar-SA"/>
      </w:rPr>
    </w:lvl>
    <w:lvl w:ilvl="4" w:tplc="5DC0201C">
      <w:numFmt w:val="bullet"/>
      <w:lvlText w:val="•"/>
      <w:lvlJc w:val="left"/>
      <w:pPr>
        <w:ind w:left="4350" w:hanging="348"/>
      </w:pPr>
      <w:rPr>
        <w:rFonts w:hint="default"/>
        <w:lang w:val="en-US" w:eastAsia="en-US" w:bidi="ar-SA"/>
      </w:rPr>
    </w:lvl>
    <w:lvl w:ilvl="5" w:tplc="185499BE">
      <w:numFmt w:val="bullet"/>
      <w:lvlText w:val="•"/>
      <w:lvlJc w:val="left"/>
      <w:pPr>
        <w:ind w:left="5303" w:hanging="348"/>
      </w:pPr>
      <w:rPr>
        <w:rFonts w:hint="default"/>
        <w:lang w:val="en-US" w:eastAsia="en-US" w:bidi="ar-SA"/>
      </w:rPr>
    </w:lvl>
    <w:lvl w:ilvl="6" w:tplc="7B24B642">
      <w:numFmt w:val="bullet"/>
      <w:lvlText w:val="•"/>
      <w:lvlJc w:val="left"/>
      <w:pPr>
        <w:ind w:left="6255" w:hanging="348"/>
      </w:pPr>
      <w:rPr>
        <w:rFonts w:hint="default"/>
        <w:lang w:val="en-US" w:eastAsia="en-US" w:bidi="ar-SA"/>
      </w:rPr>
    </w:lvl>
    <w:lvl w:ilvl="7" w:tplc="82AEEDF8">
      <w:numFmt w:val="bullet"/>
      <w:lvlText w:val="•"/>
      <w:lvlJc w:val="left"/>
      <w:pPr>
        <w:ind w:left="7208" w:hanging="348"/>
      </w:pPr>
      <w:rPr>
        <w:rFonts w:hint="default"/>
        <w:lang w:val="en-US" w:eastAsia="en-US" w:bidi="ar-SA"/>
      </w:rPr>
    </w:lvl>
    <w:lvl w:ilvl="8" w:tplc="FA66A130">
      <w:numFmt w:val="bullet"/>
      <w:lvlText w:val="•"/>
      <w:lvlJc w:val="left"/>
      <w:pPr>
        <w:ind w:left="8161" w:hanging="34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B1B67"/>
    <w:rsid w:val="00004A6A"/>
    <w:rsid w:val="001D326F"/>
    <w:rsid w:val="002B0355"/>
    <w:rsid w:val="00321AD9"/>
    <w:rsid w:val="00BB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1B6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B1B67"/>
    <w:pPr>
      <w:ind w:left="20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1B67"/>
    <w:rPr>
      <w:sz w:val="28"/>
      <w:szCs w:val="28"/>
    </w:rPr>
  </w:style>
  <w:style w:type="paragraph" w:styleId="Title">
    <w:name w:val="Title"/>
    <w:basedOn w:val="Normal"/>
    <w:uiPriority w:val="1"/>
    <w:qFormat/>
    <w:rsid w:val="00BB1B67"/>
    <w:pPr>
      <w:ind w:left="388" w:right="305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BB1B67"/>
    <w:pPr>
      <w:spacing w:before="160"/>
      <w:ind w:left="483" w:hanging="284"/>
    </w:pPr>
  </w:style>
  <w:style w:type="paragraph" w:customStyle="1" w:styleId="TableParagraph">
    <w:name w:val="Table Paragraph"/>
    <w:basedOn w:val="Normal"/>
    <w:uiPriority w:val="1"/>
    <w:qFormat/>
    <w:rsid w:val="00BB1B67"/>
  </w:style>
  <w:style w:type="paragraph" w:styleId="BalloonText">
    <w:name w:val="Balloon Text"/>
    <w:basedOn w:val="Normal"/>
    <w:link w:val="BalloonTextChar"/>
    <w:uiPriority w:val="99"/>
    <w:semiHidden/>
    <w:unhideWhenUsed/>
    <w:rsid w:val="001D3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FinanceOfficer</cp:lastModifiedBy>
  <cp:revision>5</cp:revision>
  <dcterms:created xsi:type="dcterms:W3CDTF">2021-11-08T05:59:00Z</dcterms:created>
  <dcterms:modified xsi:type="dcterms:W3CDTF">2021-11-08T06:01:00Z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2021-11-08T00:00:00Z</vt:filetime>
  </property>
</Properties>
</file>